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230"/>
        <w:rPr>
          <w:b/>
          <w:szCs w:val="28"/>
        </w:rPr>
      </w:pP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464E7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0E91">
              <w:rPr>
                <w:b/>
                <w:sz w:val="28"/>
                <w:szCs w:val="28"/>
              </w:rPr>
              <w:t>«</w:t>
            </w:r>
            <w:r w:rsidR="00A671B5">
              <w:rPr>
                <w:b/>
                <w:sz w:val="28"/>
                <w:szCs w:val="28"/>
              </w:rPr>
              <w:t>28</w:t>
            </w:r>
            <w:r w:rsidR="00D5097F">
              <w:rPr>
                <w:b/>
                <w:sz w:val="28"/>
                <w:szCs w:val="28"/>
              </w:rPr>
              <w:t>»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464E76">
              <w:rPr>
                <w:b/>
                <w:sz w:val="28"/>
                <w:szCs w:val="28"/>
              </w:rPr>
              <w:t xml:space="preserve">декабря </w:t>
            </w:r>
            <w:r w:rsidR="001E5297">
              <w:rPr>
                <w:b/>
                <w:sz w:val="28"/>
                <w:szCs w:val="28"/>
              </w:rPr>
              <w:t xml:space="preserve">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471C8D">
              <w:rPr>
                <w:b/>
                <w:sz w:val="28"/>
                <w:szCs w:val="28"/>
              </w:rPr>
              <w:t xml:space="preserve"> 2017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</w:t>
            </w:r>
            <w:r w:rsidR="00A671B5">
              <w:rPr>
                <w:b/>
                <w:sz w:val="28"/>
                <w:szCs w:val="28"/>
              </w:rPr>
              <w:t>150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х.Войнов</w:t>
            </w:r>
            <w:proofErr w:type="spellEnd"/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A671B5">
        <w:rPr>
          <w:sz w:val="28"/>
          <w:szCs w:val="28"/>
        </w:rPr>
        <w:t>2</w:t>
      </w:r>
      <w:r w:rsidR="00F714AF">
        <w:rPr>
          <w:sz w:val="28"/>
          <w:szCs w:val="28"/>
        </w:rPr>
        <w:t>7</w:t>
      </w:r>
      <w:bookmarkStart w:id="0" w:name="_GoBack"/>
      <w:bookmarkEnd w:id="0"/>
      <w:r w:rsidR="009461B8">
        <w:rPr>
          <w:sz w:val="28"/>
          <w:szCs w:val="28"/>
        </w:rPr>
        <w:t>.</w:t>
      </w:r>
      <w:r w:rsidR="00464E76">
        <w:rPr>
          <w:sz w:val="28"/>
          <w:szCs w:val="28"/>
        </w:rPr>
        <w:t>12.</w:t>
      </w:r>
      <w:r w:rsidR="00471C8D">
        <w:rPr>
          <w:sz w:val="28"/>
          <w:szCs w:val="28"/>
        </w:rPr>
        <w:t>2017</w:t>
      </w:r>
      <w:r w:rsidR="002C2DEC">
        <w:rPr>
          <w:sz w:val="28"/>
          <w:szCs w:val="28"/>
        </w:rPr>
        <w:t xml:space="preserve"> года №</w:t>
      </w:r>
      <w:r w:rsidR="001137C0">
        <w:rPr>
          <w:sz w:val="28"/>
          <w:szCs w:val="28"/>
        </w:rPr>
        <w:t xml:space="preserve"> </w:t>
      </w:r>
      <w:r w:rsidR="00A671B5">
        <w:rPr>
          <w:sz w:val="28"/>
          <w:szCs w:val="28"/>
        </w:rPr>
        <w:t>50</w:t>
      </w:r>
      <w:r w:rsidR="001137C0" w:rsidRPr="001137C0">
        <w:rPr>
          <w:sz w:val="28"/>
          <w:szCs w:val="28"/>
        </w:rPr>
        <w:t xml:space="preserve"> </w:t>
      </w:r>
      <w:r w:rsidR="00471C8D">
        <w:rPr>
          <w:sz w:val="28"/>
          <w:szCs w:val="28"/>
        </w:rPr>
        <w:t>О внесении изменений в решение Собрания депутатов Войновского сельского поселения  от 29.12.2016 г № 21</w:t>
      </w:r>
      <w:r w:rsidR="002C2DEC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2C2DEC">
        <w:rPr>
          <w:sz w:val="28"/>
          <w:szCs w:val="28"/>
        </w:rPr>
        <w:t>Е</w:t>
      </w:r>
      <w:r w:rsidR="00471C8D">
        <w:rPr>
          <w:sz w:val="28"/>
          <w:szCs w:val="28"/>
        </w:rPr>
        <w:t>горлыкского</w:t>
      </w:r>
      <w:proofErr w:type="spellEnd"/>
      <w:r w:rsidR="00471C8D">
        <w:rPr>
          <w:sz w:val="28"/>
          <w:szCs w:val="28"/>
        </w:rPr>
        <w:t xml:space="preserve"> района на 2017</w:t>
      </w:r>
      <w:r w:rsidR="002C2DEC">
        <w:rPr>
          <w:sz w:val="28"/>
          <w:szCs w:val="28"/>
        </w:rPr>
        <w:t xml:space="preserve"> год</w:t>
      </w:r>
      <w:r w:rsidR="00471C8D">
        <w:rPr>
          <w:sz w:val="28"/>
          <w:szCs w:val="28"/>
        </w:rPr>
        <w:t xml:space="preserve"> и на плановый период 2018 и 2019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Pr="002C2DEC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A671B5">
              <w:rPr>
                <w:rFonts w:ascii="Times New Roman" w:hAnsi="Times New Roman" w:cs="Times New Roman"/>
                <w:sz w:val="28"/>
                <w:szCs w:val="28"/>
              </w:rPr>
              <w:t>3127</w:t>
            </w:r>
            <w:r w:rsidR="00464E7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233,4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 xml:space="preserve">2020 год – 345,1 </w:t>
            </w:r>
            <w:proofErr w:type="spellStart"/>
            <w:r>
              <w:rPr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kern w:val="1"/>
                <w:sz w:val="28"/>
                <w:szCs w:val="28"/>
              </w:rPr>
              <w:t>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464E76">
        <w:rPr>
          <w:kern w:val="1"/>
          <w:sz w:val="28"/>
          <w:szCs w:val="28"/>
        </w:rPr>
        <w:t>31</w:t>
      </w:r>
      <w:r w:rsidR="00A671B5">
        <w:rPr>
          <w:kern w:val="1"/>
          <w:sz w:val="28"/>
          <w:szCs w:val="28"/>
        </w:rPr>
        <w:t>27</w:t>
      </w:r>
      <w:r w:rsidR="00464E76">
        <w:rPr>
          <w:kern w:val="1"/>
          <w:sz w:val="28"/>
          <w:szCs w:val="28"/>
        </w:rPr>
        <w:t>,5</w:t>
      </w:r>
      <w:r w:rsidR="008E430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A671B5">
        <w:rPr>
          <w:kern w:val="1"/>
          <w:sz w:val="28"/>
          <w:szCs w:val="28"/>
        </w:rPr>
        <w:t>3127</w:t>
      </w:r>
      <w:r w:rsidR="00464E76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A671B5">
              <w:rPr>
                <w:rFonts w:ascii="Times New Roman" w:hAnsi="Times New Roman" w:cs="Times New Roman"/>
                <w:sz w:val="28"/>
                <w:szCs w:val="28"/>
              </w:rPr>
              <w:t>3127</w:t>
            </w:r>
            <w:r w:rsidR="00464E7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233,4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 xml:space="preserve">2020 год – 345,1 </w:t>
            </w:r>
            <w:proofErr w:type="spellStart"/>
            <w:r>
              <w:rPr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kern w:val="1"/>
                <w:sz w:val="28"/>
                <w:szCs w:val="28"/>
              </w:rPr>
              <w:t>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464E76">
        <w:rPr>
          <w:kern w:val="1"/>
          <w:sz w:val="28"/>
          <w:szCs w:val="28"/>
        </w:rPr>
        <w:t>31</w:t>
      </w:r>
      <w:r w:rsidR="00A671B5">
        <w:rPr>
          <w:kern w:val="1"/>
          <w:sz w:val="28"/>
          <w:szCs w:val="28"/>
        </w:rPr>
        <w:t>27</w:t>
      </w:r>
      <w:r w:rsidR="00464E76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464E76">
        <w:rPr>
          <w:kern w:val="1"/>
          <w:sz w:val="28"/>
          <w:szCs w:val="28"/>
        </w:rPr>
        <w:t>31</w:t>
      </w:r>
      <w:r w:rsidR="00A671B5">
        <w:rPr>
          <w:kern w:val="1"/>
          <w:sz w:val="28"/>
          <w:szCs w:val="28"/>
        </w:rPr>
        <w:t>27</w:t>
      </w:r>
      <w:r w:rsidR="00464E76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4. Приложение 3 к муниципальной программе «Благоустройство» изложить согласно приложения </w:t>
      </w:r>
      <w:proofErr w:type="gramStart"/>
      <w:r>
        <w:rPr>
          <w:kern w:val="1"/>
          <w:sz w:val="28"/>
          <w:szCs w:val="28"/>
        </w:rPr>
        <w:t>1  к</w:t>
      </w:r>
      <w:proofErr w:type="gramEnd"/>
      <w:r>
        <w:rPr>
          <w:kern w:val="1"/>
          <w:sz w:val="28"/>
          <w:szCs w:val="28"/>
        </w:rPr>
        <w:t xml:space="preserve">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5. Приложение 4 к муниципальной программе «Благоустройство» изложить согласно приложения </w:t>
      </w:r>
      <w:proofErr w:type="gramStart"/>
      <w:r>
        <w:rPr>
          <w:kern w:val="1"/>
          <w:sz w:val="28"/>
          <w:szCs w:val="28"/>
        </w:rPr>
        <w:t>2  к</w:t>
      </w:r>
      <w:proofErr w:type="gramEnd"/>
      <w:r>
        <w:rPr>
          <w:kern w:val="1"/>
          <w:sz w:val="28"/>
          <w:szCs w:val="28"/>
        </w:rPr>
        <w:t xml:space="preserve">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230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0955C0">
        <w:rPr>
          <w:kern w:val="1"/>
        </w:rPr>
        <w:t xml:space="preserve"> </w:t>
      </w:r>
      <w:r w:rsidR="00A671B5">
        <w:rPr>
          <w:kern w:val="1"/>
        </w:rPr>
        <w:t>28</w:t>
      </w:r>
      <w:r w:rsidR="00464E76">
        <w:rPr>
          <w:kern w:val="1"/>
        </w:rPr>
        <w:t>.12.</w:t>
      </w:r>
      <w:r w:rsidR="00D80E91">
        <w:rPr>
          <w:kern w:val="1"/>
        </w:rPr>
        <w:t>2017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A671B5">
        <w:rPr>
          <w:kern w:val="1"/>
        </w:rPr>
        <w:t>150</w:t>
      </w:r>
      <w:r w:rsidR="00D456E6">
        <w:rPr>
          <w:kern w:val="1"/>
        </w:rPr>
        <w:t xml:space="preserve">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</w:t>
            </w:r>
            <w:proofErr w:type="gramEnd"/>
            <w:r>
              <w:rPr>
                <w:color w:val="000000"/>
                <w:kern w:val="1"/>
                <w:sz w:val="24"/>
                <w:szCs w:val="24"/>
              </w:rPr>
              <w:t xml:space="preserve">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исполнитель,  соисполнители</w:t>
            </w:r>
            <w:proofErr w:type="gramEnd"/>
            <w:r>
              <w:rPr>
                <w:color w:val="000000"/>
                <w:kern w:val="1"/>
                <w:sz w:val="24"/>
                <w:szCs w:val="24"/>
              </w:rPr>
              <w:t>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  <w:proofErr w:type="gramEnd"/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107D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 w:rsidP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  <w:r w:rsidR="00A671B5">
              <w:rPr>
                <w:color w:val="000000"/>
                <w:kern w:val="1"/>
                <w:sz w:val="24"/>
                <w:szCs w:val="24"/>
              </w:rPr>
              <w:t>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274,9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129,2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705,5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A671B5">
        <w:rPr>
          <w:kern w:val="1"/>
          <w:sz w:val="24"/>
          <w:szCs w:val="24"/>
        </w:rPr>
        <w:t>28</w:t>
      </w:r>
      <w:r w:rsidR="00464E76">
        <w:rPr>
          <w:kern w:val="1"/>
          <w:sz w:val="24"/>
          <w:szCs w:val="24"/>
        </w:rPr>
        <w:t>.12</w:t>
      </w:r>
      <w:r w:rsidR="008E430B">
        <w:rPr>
          <w:kern w:val="1"/>
          <w:sz w:val="24"/>
          <w:szCs w:val="24"/>
        </w:rPr>
        <w:t>.</w:t>
      </w:r>
      <w:r w:rsidR="00D80E91">
        <w:rPr>
          <w:kern w:val="1"/>
          <w:sz w:val="24"/>
          <w:szCs w:val="24"/>
        </w:rPr>
        <w:t>2017</w:t>
      </w:r>
      <w:r w:rsidR="001F19C9" w:rsidRPr="000C7764">
        <w:rPr>
          <w:kern w:val="1"/>
          <w:sz w:val="24"/>
          <w:szCs w:val="24"/>
        </w:rPr>
        <w:t xml:space="preserve"> г. №</w:t>
      </w:r>
      <w:r w:rsidR="00A671B5">
        <w:rPr>
          <w:kern w:val="1"/>
          <w:sz w:val="24"/>
          <w:szCs w:val="24"/>
        </w:rPr>
        <w:t xml:space="preserve"> </w:t>
      </w:r>
      <w:r w:rsidR="00464E76">
        <w:rPr>
          <w:kern w:val="1"/>
          <w:sz w:val="24"/>
          <w:szCs w:val="24"/>
        </w:rPr>
        <w:t>1</w:t>
      </w:r>
      <w:r w:rsidR="00A671B5">
        <w:rPr>
          <w:kern w:val="1"/>
          <w:sz w:val="24"/>
          <w:szCs w:val="24"/>
        </w:rPr>
        <w:t>50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</w:t>
      </w:r>
      <w:proofErr w:type="gramStart"/>
      <w:r>
        <w:rPr>
          <w:kern w:val="1"/>
          <w:sz w:val="24"/>
          <w:szCs w:val="24"/>
        </w:rPr>
        <w:t>источников  на</w:t>
      </w:r>
      <w:proofErr w:type="gramEnd"/>
      <w:r>
        <w:rPr>
          <w:kern w:val="1"/>
          <w:sz w:val="24"/>
          <w:szCs w:val="24"/>
        </w:rPr>
        <w:t xml:space="preserve">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</w:t>
            </w:r>
            <w:proofErr w:type="gramEnd"/>
            <w:r>
              <w:rPr>
                <w:color w:val="000000"/>
                <w:kern w:val="1"/>
                <w:sz w:val="24"/>
                <w:szCs w:val="24"/>
              </w:rPr>
              <w:t xml:space="preserve">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исполнитель,  соисполнители</w:t>
            </w:r>
            <w:proofErr w:type="gramEnd"/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1" w:name="_PictureBullets"/>
      <w:bookmarkEnd w:id="1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13B" w:rsidRDefault="0065413B">
      <w:r>
        <w:separator/>
      </w:r>
    </w:p>
  </w:endnote>
  <w:endnote w:type="continuationSeparator" w:id="0">
    <w:p w:rsidR="0065413B" w:rsidRDefault="0065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F714AF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25165670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714AF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F714AF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51657728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714AF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F714AF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25165875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714AF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13B" w:rsidRDefault="0065413B">
      <w:r>
        <w:separator/>
      </w:r>
    </w:p>
  </w:footnote>
  <w:footnote w:type="continuationSeparator" w:id="0">
    <w:p w:rsidR="0065413B" w:rsidRDefault="0065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26"/>
    <w:rsid w:val="000174E2"/>
    <w:rsid w:val="00026F0D"/>
    <w:rsid w:val="00051701"/>
    <w:rsid w:val="0006189B"/>
    <w:rsid w:val="000955C0"/>
    <w:rsid w:val="000B200E"/>
    <w:rsid w:val="000C7764"/>
    <w:rsid w:val="001137C0"/>
    <w:rsid w:val="00153F74"/>
    <w:rsid w:val="001853A4"/>
    <w:rsid w:val="001A3FAA"/>
    <w:rsid w:val="001E5297"/>
    <w:rsid w:val="001F19C9"/>
    <w:rsid w:val="00284503"/>
    <w:rsid w:val="002C2DEC"/>
    <w:rsid w:val="003647D8"/>
    <w:rsid w:val="0038289E"/>
    <w:rsid w:val="003D1426"/>
    <w:rsid w:val="00416ED0"/>
    <w:rsid w:val="00464E76"/>
    <w:rsid w:val="00471C8D"/>
    <w:rsid w:val="00473052"/>
    <w:rsid w:val="00487E53"/>
    <w:rsid w:val="00494CD6"/>
    <w:rsid w:val="004C7D1B"/>
    <w:rsid w:val="00524204"/>
    <w:rsid w:val="00597DBE"/>
    <w:rsid w:val="00603A52"/>
    <w:rsid w:val="006121F0"/>
    <w:rsid w:val="006471EE"/>
    <w:rsid w:val="0065413B"/>
    <w:rsid w:val="0066598F"/>
    <w:rsid w:val="00671E99"/>
    <w:rsid w:val="006A1ABC"/>
    <w:rsid w:val="006D1147"/>
    <w:rsid w:val="007A4C44"/>
    <w:rsid w:val="007C1C98"/>
    <w:rsid w:val="007D0066"/>
    <w:rsid w:val="00810B66"/>
    <w:rsid w:val="008E430B"/>
    <w:rsid w:val="00915497"/>
    <w:rsid w:val="009461B8"/>
    <w:rsid w:val="00975C8F"/>
    <w:rsid w:val="009E479E"/>
    <w:rsid w:val="00A671B5"/>
    <w:rsid w:val="00AC371E"/>
    <w:rsid w:val="00B74AAA"/>
    <w:rsid w:val="00BA4D0C"/>
    <w:rsid w:val="00BA511D"/>
    <w:rsid w:val="00BC4547"/>
    <w:rsid w:val="00CA66DC"/>
    <w:rsid w:val="00CE31F3"/>
    <w:rsid w:val="00D107DD"/>
    <w:rsid w:val="00D37CAA"/>
    <w:rsid w:val="00D456E6"/>
    <w:rsid w:val="00D5097F"/>
    <w:rsid w:val="00D80E91"/>
    <w:rsid w:val="00DA0C25"/>
    <w:rsid w:val="00DA337C"/>
    <w:rsid w:val="00E73E01"/>
    <w:rsid w:val="00EA082B"/>
    <w:rsid w:val="00EB2A6D"/>
    <w:rsid w:val="00EC0FEB"/>
    <w:rsid w:val="00ED5D0B"/>
    <w:rsid w:val="00EE7F55"/>
    <w:rsid w:val="00F714AF"/>
    <w:rsid w:val="00F73816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5:docId w15:val="{3426C0AE-F27C-474C-870A-6EF2E795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Знак Знак19"/>
    <w:rPr>
      <w:rFonts w:cs="Times New Roman"/>
      <w:b/>
      <w:bCs/>
      <w:sz w:val="28"/>
      <w:szCs w:val="28"/>
    </w:rPr>
  </w:style>
  <w:style w:type="character" w:customStyle="1" w:styleId="18">
    <w:name w:val="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Pr>
      <w:rFonts w:cs="Times New Roman"/>
      <w:b/>
      <w:bCs/>
      <w:sz w:val="22"/>
      <w:szCs w:val="22"/>
    </w:rPr>
  </w:style>
  <w:style w:type="character" w:customStyle="1" w:styleId="16">
    <w:name w:val="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Pr>
      <w:rFonts w:ascii="Cambria" w:hAnsi="Cambria" w:cs="Times New Roman"/>
      <w:color w:val="404040"/>
    </w:rPr>
  </w:style>
  <w:style w:type="character" w:customStyle="1" w:styleId="14">
    <w:name w:val="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Pr>
      <w:sz w:val="28"/>
    </w:rPr>
  </w:style>
  <w:style w:type="character" w:customStyle="1" w:styleId="12">
    <w:name w:val="Знак Знак12"/>
    <w:rPr>
      <w:sz w:val="28"/>
    </w:rPr>
  </w:style>
  <w:style w:type="character" w:customStyle="1" w:styleId="11">
    <w:name w:val="Знак Знак11"/>
    <w:basedOn w:val="10"/>
  </w:style>
  <w:style w:type="character" w:customStyle="1" w:styleId="100">
    <w:name w:val="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Знак Знак8"/>
    <w:rPr>
      <w:rFonts w:cs="Times New Roman"/>
    </w:rPr>
  </w:style>
  <w:style w:type="character" w:customStyle="1" w:styleId="70">
    <w:name w:val="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</w:rPr>
  </w:style>
  <w:style w:type="character" w:customStyle="1" w:styleId="31">
    <w:name w:val="Знак Знак3"/>
    <w:rPr>
      <w:rFonts w:cs="Times New Roman"/>
      <w:sz w:val="16"/>
    </w:rPr>
  </w:style>
  <w:style w:type="character" w:customStyle="1" w:styleId="23">
    <w:name w:val="Знак Знак2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Pr>
      <w:rFonts w:ascii="Courier New" w:hAnsi="Courier New" w:cs="Courier New"/>
    </w:rPr>
  </w:style>
  <w:style w:type="character" w:customStyle="1" w:styleId="a6">
    <w:name w:val="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6</cp:revision>
  <cp:lastPrinted>2018-01-14T07:26:00Z</cp:lastPrinted>
  <dcterms:created xsi:type="dcterms:W3CDTF">2017-09-14T18:25:00Z</dcterms:created>
  <dcterms:modified xsi:type="dcterms:W3CDTF">2018-01-14T07:27:00Z</dcterms:modified>
</cp:coreProperties>
</file>